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F76" w:rsidRDefault="00A46F76" w:rsidP="00BA3E95">
      <w:pPr>
        <w:pStyle w:val="1izenburua"/>
        <w:rPr>
          <w:u w:val="single"/>
        </w:rPr>
      </w:pPr>
    </w:p>
    <w:p w:rsidR="00807365" w:rsidRPr="00E10339" w:rsidRDefault="00E10339" w:rsidP="00BA3E95">
      <w:pPr>
        <w:pStyle w:val="1izenburua"/>
        <w:rPr>
          <w:u w:val="single"/>
        </w:rPr>
      </w:pPr>
      <w:r w:rsidRPr="00E10339">
        <w:rPr>
          <w:u w:val="single"/>
        </w:rPr>
        <w:t>PROCEDIMIENTO PARA LA APROBACIÓN</w:t>
      </w:r>
      <w:r w:rsidR="00BC37BA">
        <w:rPr>
          <w:u w:val="single"/>
        </w:rPr>
        <w:t xml:space="preserve"> O MODIFICACIÓN</w:t>
      </w:r>
      <w:r w:rsidR="00BA3E95">
        <w:rPr>
          <w:u w:val="single"/>
        </w:rPr>
        <w:t xml:space="preserve"> DE </w:t>
      </w:r>
      <w:r w:rsidRPr="00E10339">
        <w:rPr>
          <w:u w:val="single"/>
        </w:rPr>
        <w:t xml:space="preserve"> ORDENANZA</w:t>
      </w:r>
      <w:r w:rsidR="00BA3E95">
        <w:rPr>
          <w:u w:val="single"/>
        </w:rPr>
        <w:t>S</w:t>
      </w:r>
    </w:p>
    <w:p w:rsidR="00807365" w:rsidRDefault="00807365" w:rsidP="002E4E84">
      <w:pPr>
        <w:pStyle w:val="Gorputz-testua"/>
        <w:rPr>
          <w:b/>
          <w:sz w:val="22"/>
        </w:rPr>
      </w:pPr>
    </w:p>
    <w:p w:rsidR="00A46F76" w:rsidRDefault="00A46F76" w:rsidP="002E4E84">
      <w:pPr>
        <w:pStyle w:val="Gorputz-testua"/>
        <w:rPr>
          <w:b/>
          <w:sz w:val="22"/>
        </w:rPr>
      </w:pPr>
    </w:p>
    <w:p w:rsidR="00807365" w:rsidRPr="00A46F76" w:rsidRDefault="00807365" w:rsidP="00A46F76">
      <w:pPr>
        <w:pStyle w:val="Sangra"/>
        <w:numPr>
          <w:ilvl w:val="0"/>
          <w:numId w:val="1"/>
        </w:numPr>
        <w:rPr>
          <w:rFonts w:ascii="Arial" w:hAnsi="Arial"/>
          <w:sz w:val="22"/>
        </w:rPr>
      </w:pPr>
      <w:r w:rsidRPr="00776A94">
        <w:rPr>
          <w:rFonts w:ascii="Arial" w:hAnsi="Arial"/>
          <w:b/>
          <w:sz w:val="22"/>
          <w:u w:val="single"/>
        </w:rPr>
        <w:t>Aprobación inicial</w:t>
      </w:r>
      <w:r w:rsidR="00BA3E95">
        <w:rPr>
          <w:rFonts w:ascii="Arial" w:hAnsi="Arial"/>
          <w:b/>
          <w:sz w:val="22"/>
          <w:u w:val="single"/>
        </w:rPr>
        <w:t>:</w:t>
      </w:r>
      <w:r>
        <w:rPr>
          <w:rFonts w:ascii="Arial" w:hAnsi="Arial"/>
          <w:sz w:val="22"/>
        </w:rPr>
        <w:t xml:space="preserve"> bien de la totalidad de la Ordenanza</w:t>
      </w:r>
      <w:r w:rsidR="00BA3E95">
        <w:rPr>
          <w:rFonts w:ascii="Arial" w:hAnsi="Arial"/>
          <w:sz w:val="22"/>
        </w:rPr>
        <w:t xml:space="preserve">, bien </w:t>
      </w:r>
      <w:r>
        <w:rPr>
          <w:rFonts w:ascii="Arial" w:hAnsi="Arial"/>
          <w:sz w:val="22"/>
        </w:rPr>
        <w:t xml:space="preserve">del </w:t>
      </w:r>
      <w:r w:rsidR="00776A94">
        <w:rPr>
          <w:rFonts w:ascii="Arial" w:hAnsi="Arial"/>
          <w:sz w:val="22"/>
        </w:rPr>
        <w:t>artículo</w:t>
      </w:r>
      <w:r w:rsidR="00BA3E95">
        <w:rPr>
          <w:rFonts w:ascii="Arial" w:hAnsi="Arial"/>
          <w:sz w:val="22"/>
        </w:rPr>
        <w:t>/s</w:t>
      </w:r>
      <w:r w:rsidR="00776A9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que fueran a ser modifi</w:t>
      </w:r>
      <w:r w:rsidR="00776A94">
        <w:rPr>
          <w:rFonts w:ascii="Arial" w:hAnsi="Arial"/>
          <w:sz w:val="22"/>
        </w:rPr>
        <w:t>cados por la Asamblea Vecinal, si se trata de   Concejo Abierto</w:t>
      </w:r>
      <w:r>
        <w:rPr>
          <w:rFonts w:ascii="Arial" w:hAnsi="Arial"/>
          <w:sz w:val="22"/>
        </w:rPr>
        <w:t xml:space="preserve"> </w:t>
      </w:r>
      <w:r w:rsidR="00776A94">
        <w:rPr>
          <w:rFonts w:ascii="Arial" w:hAnsi="Arial"/>
          <w:sz w:val="22"/>
        </w:rPr>
        <w:t>(A</w:t>
      </w:r>
      <w:r>
        <w:rPr>
          <w:rFonts w:ascii="Arial" w:hAnsi="Arial"/>
          <w:sz w:val="22"/>
        </w:rPr>
        <w:t>rt</w:t>
      </w:r>
      <w:r w:rsidR="005B6F0B">
        <w:rPr>
          <w:rFonts w:ascii="Arial" w:hAnsi="Arial"/>
          <w:sz w:val="22"/>
        </w:rPr>
        <w:t>ículo 12.v</w:t>
      </w:r>
      <w:r w:rsidR="00A46F76">
        <w:rPr>
          <w:rFonts w:ascii="Arial" w:hAnsi="Arial"/>
          <w:sz w:val="22"/>
        </w:rPr>
        <w:t>)</w:t>
      </w:r>
      <w:r>
        <w:rPr>
          <w:rFonts w:ascii="Arial" w:hAnsi="Arial"/>
          <w:sz w:val="22"/>
        </w:rPr>
        <w:t xml:space="preserve"> de la Norma Foral de Concejos</w:t>
      </w:r>
      <w:r>
        <w:rPr>
          <w:rFonts w:ascii="Arial" w:hAnsi="Arial"/>
          <w:sz w:val="18"/>
        </w:rPr>
        <w:t>)</w:t>
      </w:r>
      <w:r>
        <w:rPr>
          <w:rFonts w:ascii="Arial" w:hAnsi="Arial"/>
          <w:sz w:val="22"/>
        </w:rPr>
        <w:t xml:space="preserve">. </w:t>
      </w:r>
      <w:r w:rsidR="00A46F76">
        <w:rPr>
          <w:rFonts w:ascii="Arial" w:hAnsi="Arial"/>
          <w:sz w:val="22"/>
        </w:rPr>
        <w:t xml:space="preserve">Esta aprobación </w:t>
      </w:r>
      <w:r w:rsidRPr="00A46F76">
        <w:rPr>
          <w:rFonts w:ascii="Arial" w:hAnsi="Arial"/>
          <w:sz w:val="22"/>
        </w:rPr>
        <w:t>requiere el voto favorable de las dos terceras partes de los presentes.</w:t>
      </w:r>
      <w:r w:rsidR="00776A94" w:rsidRPr="00A46F76">
        <w:rPr>
          <w:rFonts w:ascii="Arial" w:hAnsi="Arial"/>
          <w:sz w:val="22"/>
        </w:rPr>
        <w:t xml:space="preserve"> (Artículo 23.2.l de la Norma Foral de Concejos)</w:t>
      </w:r>
    </w:p>
    <w:p w:rsidR="003533B1" w:rsidRPr="00A46F76" w:rsidRDefault="00776A94" w:rsidP="00A46F76">
      <w:pPr>
        <w:pStyle w:val="Sangra"/>
        <w:numPr>
          <w:ilvl w:val="0"/>
          <w:numId w:val="1"/>
        </w:numPr>
        <w:rPr>
          <w:rFonts w:ascii="Arial" w:hAnsi="Arial"/>
          <w:sz w:val="22"/>
        </w:rPr>
      </w:pPr>
      <w:r w:rsidRPr="00776A94">
        <w:rPr>
          <w:rFonts w:ascii="Arial" w:hAnsi="Arial"/>
          <w:b/>
          <w:sz w:val="22"/>
          <w:u w:val="single"/>
        </w:rPr>
        <w:t>Trámite de Información Pública</w:t>
      </w:r>
      <w:r>
        <w:rPr>
          <w:rFonts w:ascii="Arial" w:hAnsi="Arial"/>
          <w:sz w:val="22"/>
        </w:rPr>
        <w:t xml:space="preserve"> </w:t>
      </w:r>
      <w:r w:rsidR="00807365">
        <w:rPr>
          <w:rFonts w:ascii="Arial" w:hAnsi="Arial"/>
          <w:sz w:val="22"/>
        </w:rPr>
        <w:t xml:space="preserve">de la Ordenanza </w:t>
      </w:r>
      <w:r w:rsidR="00BA3E95">
        <w:rPr>
          <w:rFonts w:ascii="Arial" w:hAnsi="Arial"/>
          <w:sz w:val="22"/>
        </w:rPr>
        <w:t>(</w:t>
      </w:r>
      <w:r w:rsidR="00807365">
        <w:rPr>
          <w:rFonts w:ascii="Arial" w:hAnsi="Arial"/>
          <w:sz w:val="22"/>
        </w:rPr>
        <w:t>o de los artículos objeto de mod</w:t>
      </w:r>
      <w:r w:rsidR="003533B1">
        <w:rPr>
          <w:rFonts w:ascii="Arial" w:hAnsi="Arial"/>
          <w:sz w:val="22"/>
        </w:rPr>
        <w:t>ificación</w:t>
      </w:r>
      <w:r w:rsidR="00BA3E95">
        <w:rPr>
          <w:rFonts w:ascii="Arial" w:hAnsi="Arial"/>
          <w:sz w:val="22"/>
        </w:rPr>
        <w:t>)</w:t>
      </w:r>
      <w:r w:rsidR="003533B1">
        <w:rPr>
          <w:rFonts w:ascii="Arial" w:hAnsi="Arial"/>
          <w:sz w:val="22"/>
        </w:rPr>
        <w:t>,</w:t>
      </w:r>
      <w:r w:rsidR="00807365">
        <w:rPr>
          <w:rFonts w:ascii="Arial" w:hAnsi="Arial"/>
          <w:sz w:val="22"/>
        </w:rPr>
        <w:t xml:space="preserve"> </w:t>
      </w:r>
      <w:r w:rsidR="00A46F76">
        <w:rPr>
          <w:rFonts w:ascii="Arial" w:hAnsi="Arial"/>
          <w:sz w:val="22"/>
        </w:rPr>
        <w:t>por</w:t>
      </w:r>
      <w:r w:rsidR="00807365">
        <w:rPr>
          <w:rFonts w:ascii="Arial" w:hAnsi="Arial"/>
          <w:sz w:val="22"/>
        </w:rPr>
        <w:t xml:space="preserve"> plazo mínimo de 30 días hábiles</w:t>
      </w:r>
      <w:r w:rsidR="003533B1">
        <w:rPr>
          <w:rFonts w:ascii="Arial" w:hAnsi="Arial"/>
          <w:sz w:val="22"/>
        </w:rPr>
        <w:t xml:space="preserve"> (se </w:t>
      </w:r>
      <w:r w:rsidR="006C095B">
        <w:rPr>
          <w:rFonts w:ascii="Arial" w:hAnsi="Arial"/>
          <w:sz w:val="22"/>
        </w:rPr>
        <w:t xml:space="preserve">excluyen del cómputo los </w:t>
      </w:r>
      <w:bookmarkStart w:id="0" w:name="_GoBack"/>
      <w:bookmarkEnd w:id="0"/>
      <w:r w:rsidR="003533B1">
        <w:rPr>
          <w:rFonts w:ascii="Arial" w:hAnsi="Arial"/>
          <w:sz w:val="22"/>
        </w:rPr>
        <w:t>domingos y festivos)</w:t>
      </w:r>
      <w:r w:rsidR="00807365">
        <w:rPr>
          <w:rFonts w:ascii="Arial" w:hAnsi="Arial"/>
          <w:sz w:val="22"/>
        </w:rPr>
        <w:t xml:space="preserve">, dentro de los cuales los interesados podrán examinar el expediente y presentar reclamaciones. </w:t>
      </w:r>
      <w:r w:rsidR="00807365" w:rsidRPr="00A46F76">
        <w:rPr>
          <w:rFonts w:ascii="Arial" w:hAnsi="Arial"/>
          <w:sz w:val="22"/>
        </w:rPr>
        <w:t xml:space="preserve">Este trámite requiere la exposición de la Ordenanza en el Tablón de </w:t>
      </w:r>
      <w:r w:rsidR="003533B1" w:rsidRPr="00A46F76">
        <w:rPr>
          <w:rFonts w:ascii="Arial" w:hAnsi="Arial"/>
          <w:sz w:val="22"/>
        </w:rPr>
        <w:t xml:space="preserve">  </w:t>
      </w:r>
      <w:r w:rsidR="00807365" w:rsidRPr="00A46F76">
        <w:rPr>
          <w:rFonts w:ascii="Arial" w:hAnsi="Arial"/>
          <w:sz w:val="22"/>
        </w:rPr>
        <w:t>anuncios de la Entidad</w:t>
      </w:r>
      <w:r w:rsidR="007A28C4" w:rsidRPr="00A46F76">
        <w:rPr>
          <w:rFonts w:ascii="Arial" w:hAnsi="Arial"/>
          <w:sz w:val="22"/>
        </w:rPr>
        <w:t>,</w:t>
      </w:r>
      <w:r w:rsidR="00807365" w:rsidRPr="00A46F76">
        <w:rPr>
          <w:rFonts w:ascii="Arial" w:hAnsi="Arial"/>
          <w:sz w:val="22"/>
        </w:rPr>
        <w:t xml:space="preserve"> así como la publicación del anuncio en el BOTHA. </w:t>
      </w:r>
    </w:p>
    <w:p w:rsidR="00DD1D63" w:rsidRPr="000E5026" w:rsidRDefault="00807365" w:rsidP="000E5026">
      <w:pPr>
        <w:pStyle w:val="Sangra"/>
        <w:numPr>
          <w:ilvl w:val="0"/>
          <w:numId w:val="1"/>
        </w:numPr>
        <w:tabs>
          <w:tab w:val="clear" w:pos="1494"/>
          <w:tab w:val="num" w:pos="1560"/>
        </w:tabs>
        <w:ind w:left="1560" w:hanging="426"/>
        <w:rPr>
          <w:rFonts w:ascii="Arial" w:hAnsi="Arial"/>
          <w:sz w:val="22"/>
        </w:rPr>
      </w:pPr>
      <w:r w:rsidRPr="000E5026">
        <w:rPr>
          <w:rFonts w:ascii="Arial" w:hAnsi="Arial"/>
          <w:sz w:val="22"/>
        </w:rPr>
        <w:t>Transcurrido ese período de tiempo, se estudiarán las reclamaciones presentadas</w:t>
      </w:r>
      <w:r w:rsidR="00A46F76">
        <w:rPr>
          <w:rFonts w:ascii="Arial" w:hAnsi="Arial"/>
          <w:sz w:val="22"/>
        </w:rPr>
        <w:t xml:space="preserve">, si las hubiere, </w:t>
      </w:r>
      <w:r w:rsidR="00BA3E95">
        <w:rPr>
          <w:rFonts w:ascii="Arial" w:hAnsi="Arial"/>
          <w:sz w:val="22"/>
        </w:rPr>
        <w:t xml:space="preserve">al objeto </w:t>
      </w:r>
      <w:r w:rsidR="000E5026" w:rsidRPr="000E5026">
        <w:rPr>
          <w:rFonts w:ascii="Arial" w:hAnsi="Arial"/>
          <w:sz w:val="22"/>
        </w:rPr>
        <w:t>de que la Asamblea Vecinal las</w:t>
      </w:r>
      <w:r w:rsidR="006B6A0B">
        <w:rPr>
          <w:rFonts w:ascii="Arial" w:hAnsi="Arial"/>
          <w:sz w:val="22"/>
        </w:rPr>
        <w:t xml:space="preserve"> estime o desestime</w:t>
      </w:r>
      <w:r w:rsidRPr="000E5026">
        <w:rPr>
          <w:rFonts w:ascii="Arial" w:hAnsi="Arial"/>
          <w:sz w:val="22"/>
        </w:rPr>
        <w:t>. La desestimación</w:t>
      </w:r>
      <w:r w:rsidR="000E5026" w:rsidRPr="000E5026">
        <w:rPr>
          <w:rFonts w:ascii="Arial" w:hAnsi="Arial"/>
          <w:sz w:val="22"/>
        </w:rPr>
        <w:t xml:space="preserve"> </w:t>
      </w:r>
      <w:r w:rsidR="00A46F76">
        <w:rPr>
          <w:rFonts w:ascii="Arial" w:hAnsi="Arial"/>
          <w:sz w:val="22"/>
        </w:rPr>
        <w:t>deberá ser</w:t>
      </w:r>
      <w:r w:rsidR="00BA3E95">
        <w:rPr>
          <w:rFonts w:ascii="Arial" w:hAnsi="Arial"/>
          <w:sz w:val="22"/>
        </w:rPr>
        <w:t xml:space="preserve"> motivada (art.</w:t>
      </w:r>
      <w:r w:rsidR="000E5026" w:rsidRPr="000E5026">
        <w:rPr>
          <w:rFonts w:ascii="Arial" w:hAnsi="Arial"/>
          <w:sz w:val="22"/>
        </w:rPr>
        <w:t xml:space="preserve"> 54 Ley 30/92)</w:t>
      </w:r>
      <w:r w:rsidR="000E5026">
        <w:rPr>
          <w:rFonts w:ascii="Arial" w:hAnsi="Arial"/>
          <w:sz w:val="22"/>
        </w:rPr>
        <w:t>.</w:t>
      </w:r>
    </w:p>
    <w:p w:rsidR="002973ED" w:rsidRDefault="00A46F76" w:rsidP="002973ED">
      <w:pPr>
        <w:pStyle w:val="Sangra"/>
        <w:ind w:left="156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Si</w:t>
      </w:r>
      <w:r w:rsidR="00807365">
        <w:rPr>
          <w:rFonts w:ascii="Arial" w:hAnsi="Arial"/>
          <w:sz w:val="22"/>
        </w:rPr>
        <w:t xml:space="preserve"> </w:t>
      </w:r>
      <w:r w:rsidR="00807365">
        <w:rPr>
          <w:rFonts w:ascii="Arial" w:hAnsi="Arial"/>
          <w:b/>
          <w:sz w:val="22"/>
        </w:rPr>
        <w:t>no se hubieran presentado reclamaciones</w:t>
      </w:r>
      <w:r w:rsidR="00807365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esto </w:t>
      </w:r>
      <w:r w:rsidR="00807365">
        <w:rPr>
          <w:rFonts w:ascii="Arial" w:hAnsi="Arial"/>
          <w:sz w:val="22"/>
        </w:rPr>
        <w:t xml:space="preserve"> se hará constar </w:t>
      </w:r>
      <w:r>
        <w:rPr>
          <w:rFonts w:ascii="Arial" w:hAnsi="Arial"/>
          <w:sz w:val="22"/>
        </w:rPr>
        <w:t xml:space="preserve">por </w:t>
      </w:r>
      <w:r w:rsidR="00807365">
        <w:rPr>
          <w:rFonts w:ascii="Arial" w:hAnsi="Arial"/>
          <w:sz w:val="22"/>
        </w:rPr>
        <w:t xml:space="preserve">certificación </w:t>
      </w:r>
      <w:r>
        <w:rPr>
          <w:rFonts w:ascii="Arial" w:hAnsi="Arial"/>
          <w:sz w:val="22"/>
        </w:rPr>
        <w:t xml:space="preserve">del Fiel de </w:t>
      </w:r>
      <w:proofErr w:type="spellStart"/>
      <w:r>
        <w:rPr>
          <w:rFonts w:ascii="Arial" w:hAnsi="Arial"/>
          <w:sz w:val="22"/>
        </w:rPr>
        <w:t>Fechos</w:t>
      </w:r>
      <w:proofErr w:type="spellEnd"/>
      <w:r>
        <w:rPr>
          <w:rFonts w:ascii="Arial" w:hAnsi="Arial"/>
          <w:sz w:val="22"/>
        </w:rPr>
        <w:t xml:space="preserve">, </w:t>
      </w:r>
      <w:r w:rsidR="00807365">
        <w:rPr>
          <w:rFonts w:ascii="Arial" w:hAnsi="Arial"/>
          <w:sz w:val="22"/>
        </w:rPr>
        <w:t>en la que se recogerá fecha de publicación del anuncio en el BOTHA, el transcurso del plazo de 30 días hábil</w:t>
      </w:r>
      <w:r w:rsidR="002973ED">
        <w:rPr>
          <w:rFonts w:ascii="Arial" w:hAnsi="Arial"/>
          <w:sz w:val="22"/>
        </w:rPr>
        <w:t xml:space="preserve">es </w:t>
      </w:r>
      <w:r w:rsidR="00807365">
        <w:rPr>
          <w:rFonts w:ascii="Arial" w:hAnsi="Arial"/>
          <w:sz w:val="22"/>
        </w:rPr>
        <w:t xml:space="preserve">y el resultado de la información pública, esto es, que no </w:t>
      </w:r>
      <w:r w:rsidR="002973ED">
        <w:rPr>
          <w:rFonts w:ascii="Arial" w:hAnsi="Arial"/>
          <w:sz w:val="22"/>
        </w:rPr>
        <w:t>ha habido reclamaciones.</w:t>
      </w:r>
    </w:p>
    <w:p w:rsidR="00807365" w:rsidRDefault="00A46F76" w:rsidP="002973ED">
      <w:pPr>
        <w:pStyle w:val="Sangra"/>
        <w:ind w:left="1560"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En este caso</w:t>
      </w:r>
      <w:r w:rsidR="00807365">
        <w:rPr>
          <w:rFonts w:ascii="Arial" w:hAnsi="Arial"/>
          <w:sz w:val="22"/>
        </w:rPr>
        <w:t xml:space="preserve">, se entenderá </w:t>
      </w:r>
      <w:r w:rsidR="00807365" w:rsidRPr="002973ED">
        <w:rPr>
          <w:rFonts w:ascii="Arial" w:hAnsi="Arial"/>
          <w:b/>
          <w:sz w:val="22"/>
          <w:u w:val="single"/>
        </w:rPr>
        <w:t>definitivamente a</w:t>
      </w:r>
      <w:r>
        <w:rPr>
          <w:rFonts w:ascii="Arial" w:hAnsi="Arial"/>
          <w:b/>
          <w:sz w:val="22"/>
          <w:u w:val="single"/>
        </w:rPr>
        <w:t>doptado</w:t>
      </w:r>
      <w:r w:rsidR="00807365" w:rsidRPr="002973ED">
        <w:rPr>
          <w:rFonts w:ascii="Arial" w:hAnsi="Arial"/>
          <w:b/>
          <w:sz w:val="22"/>
          <w:u w:val="single"/>
        </w:rPr>
        <w:t xml:space="preserve"> </w:t>
      </w:r>
      <w:r w:rsidR="00807365" w:rsidRPr="00BA3E95">
        <w:rPr>
          <w:rFonts w:ascii="Arial" w:hAnsi="Arial"/>
          <w:sz w:val="22"/>
        </w:rPr>
        <w:t>el acuerdo</w:t>
      </w:r>
      <w:r w:rsidR="00807365" w:rsidRPr="002973ED">
        <w:rPr>
          <w:rFonts w:ascii="Arial" w:hAnsi="Arial"/>
          <w:b/>
          <w:sz w:val="22"/>
          <w:u w:val="single"/>
        </w:rPr>
        <w:t xml:space="preserve"> </w:t>
      </w:r>
      <w:r w:rsidR="00807365">
        <w:rPr>
          <w:rFonts w:ascii="Arial" w:hAnsi="Arial"/>
          <w:sz w:val="22"/>
        </w:rPr>
        <w:t>de aprobación</w:t>
      </w:r>
      <w:r w:rsidR="00DD1D63">
        <w:rPr>
          <w:rFonts w:ascii="Arial" w:hAnsi="Arial"/>
          <w:sz w:val="22"/>
        </w:rPr>
        <w:t xml:space="preserve"> o modificación  de la </w:t>
      </w:r>
      <w:r w:rsidR="00807365">
        <w:rPr>
          <w:rFonts w:ascii="Arial" w:hAnsi="Arial"/>
          <w:sz w:val="22"/>
        </w:rPr>
        <w:t>Ordenanza</w:t>
      </w:r>
      <w:r w:rsidR="00DD1D63">
        <w:rPr>
          <w:rFonts w:ascii="Arial" w:hAnsi="Arial"/>
          <w:sz w:val="22"/>
        </w:rPr>
        <w:t xml:space="preserve">, </w:t>
      </w:r>
      <w:r w:rsidR="00807365">
        <w:rPr>
          <w:rFonts w:ascii="Arial" w:hAnsi="Arial"/>
          <w:sz w:val="22"/>
        </w:rPr>
        <w:t xml:space="preserve">lo que </w:t>
      </w:r>
      <w:r w:rsidR="002973ED">
        <w:rPr>
          <w:rFonts w:ascii="Arial" w:hAnsi="Arial"/>
          <w:sz w:val="22"/>
        </w:rPr>
        <w:t>comporta que</w:t>
      </w:r>
      <w:r w:rsidR="00807365">
        <w:rPr>
          <w:rFonts w:ascii="Arial" w:hAnsi="Arial"/>
          <w:sz w:val="22"/>
        </w:rPr>
        <w:t xml:space="preserve"> no tenga que procederse nuevamente a adoptar acuerdo de aprobación definitiva.</w:t>
      </w:r>
    </w:p>
    <w:p w:rsidR="00807365" w:rsidRDefault="00780D25">
      <w:pPr>
        <w:pStyle w:val="Sangra"/>
        <w:numPr>
          <w:ilvl w:val="0"/>
          <w:numId w:val="1"/>
        </w:numPr>
        <w:rPr>
          <w:rFonts w:ascii="Arial" w:hAnsi="Arial"/>
          <w:sz w:val="22"/>
        </w:rPr>
      </w:pPr>
      <w:r w:rsidRPr="00780D25">
        <w:rPr>
          <w:rFonts w:ascii="Arial" w:hAnsi="Arial"/>
          <w:b/>
          <w:sz w:val="22"/>
          <w:u w:val="single"/>
        </w:rPr>
        <w:t>Publicación íntegra</w:t>
      </w:r>
      <w:r w:rsidR="00807365" w:rsidRPr="00780D25">
        <w:rPr>
          <w:rFonts w:ascii="Arial" w:hAnsi="Arial"/>
          <w:b/>
          <w:sz w:val="22"/>
          <w:u w:val="single"/>
        </w:rPr>
        <w:t xml:space="preserve"> en el BOTHA</w:t>
      </w:r>
      <w:r w:rsidR="00807365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d</w:t>
      </w:r>
      <w:r w:rsidR="00807365">
        <w:rPr>
          <w:rFonts w:ascii="Arial" w:hAnsi="Arial"/>
          <w:sz w:val="22"/>
        </w:rPr>
        <w:t xml:space="preserve">el texto </w:t>
      </w:r>
      <w:r w:rsidR="00DE4C40">
        <w:rPr>
          <w:rFonts w:ascii="Arial" w:hAnsi="Arial"/>
          <w:sz w:val="22"/>
        </w:rPr>
        <w:t>de la Ordenanza</w:t>
      </w:r>
      <w:r w:rsidR="00807365">
        <w:rPr>
          <w:rFonts w:ascii="Arial" w:hAnsi="Arial"/>
          <w:sz w:val="22"/>
        </w:rPr>
        <w:t xml:space="preserve"> o bien </w:t>
      </w:r>
      <w:r w:rsidR="0091106D">
        <w:rPr>
          <w:rFonts w:ascii="Arial" w:hAnsi="Arial"/>
          <w:sz w:val="22"/>
        </w:rPr>
        <w:t>d</w:t>
      </w:r>
      <w:r w:rsidR="00807365">
        <w:rPr>
          <w:rFonts w:ascii="Arial" w:hAnsi="Arial"/>
          <w:sz w:val="22"/>
        </w:rPr>
        <w:t>el artículo</w:t>
      </w:r>
      <w:r>
        <w:rPr>
          <w:rFonts w:ascii="Arial" w:hAnsi="Arial"/>
          <w:sz w:val="22"/>
        </w:rPr>
        <w:t>/s</w:t>
      </w:r>
      <w:r w:rsidR="00807365">
        <w:rPr>
          <w:rFonts w:ascii="Arial" w:hAnsi="Arial"/>
          <w:sz w:val="22"/>
        </w:rPr>
        <w:t xml:space="preserve"> mo</w:t>
      </w:r>
      <w:r w:rsidR="00BA3E95">
        <w:rPr>
          <w:rFonts w:ascii="Arial" w:hAnsi="Arial"/>
          <w:sz w:val="22"/>
        </w:rPr>
        <w:t>dificado</w:t>
      </w:r>
      <w:r w:rsidR="00A46F76">
        <w:rPr>
          <w:rFonts w:ascii="Arial" w:hAnsi="Arial"/>
          <w:sz w:val="22"/>
        </w:rPr>
        <w:t>/</w:t>
      </w:r>
      <w:r w:rsidR="00BA3E95">
        <w:rPr>
          <w:rFonts w:ascii="Arial" w:hAnsi="Arial"/>
          <w:sz w:val="22"/>
        </w:rPr>
        <w:t>s, dado que no entrará</w:t>
      </w:r>
      <w:r w:rsidR="00807365">
        <w:rPr>
          <w:rFonts w:ascii="Arial" w:hAnsi="Arial"/>
          <w:sz w:val="22"/>
        </w:rPr>
        <w:t xml:space="preserve"> en vigor hasta que se haya llevado a cabo la </w:t>
      </w:r>
      <w:r w:rsidR="00A46F76">
        <w:rPr>
          <w:rFonts w:ascii="Arial" w:hAnsi="Arial"/>
          <w:sz w:val="22"/>
        </w:rPr>
        <w:t xml:space="preserve">íntegra </w:t>
      </w:r>
      <w:r w:rsidR="00807365">
        <w:rPr>
          <w:rFonts w:ascii="Arial" w:hAnsi="Arial"/>
          <w:sz w:val="22"/>
        </w:rPr>
        <w:t xml:space="preserve">publicación. </w:t>
      </w:r>
    </w:p>
    <w:p w:rsidR="00807365" w:rsidRPr="00236099" w:rsidRDefault="002E4E84" w:rsidP="0091106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before="120"/>
        <w:jc w:val="both"/>
        <w:rPr>
          <w:rFonts w:ascii="Arial" w:hAnsi="Arial"/>
        </w:rPr>
      </w:pPr>
      <w:r w:rsidRPr="002E4E84">
        <w:rPr>
          <w:rFonts w:ascii="Arial" w:hAnsi="Arial"/>
          <w:b/>
          <w:u w:val="single"/>
        </w:rPr>
        <w:t>L</w:t>
      </w:r>
      <w:r w:rsidR="00236099" w:rsidRPr="002E4E84">
        <w:rPr>
          <w:rFonts w:ascii="Arial" w:hAnsi="Arial"/>
          <w:b/>
          <w:u w:val="single"/>
        </w:rPr>
        <w:t>a vigencia de la Ordenanza</w:t>
      </w:r>
      <w:r w:rsidR="00236099">
        <w:rPr>
          <w:rFonts w:ascii="Arial" w:hAnsi="Arial"/>
        </w:rPr>
        <w:t xml:space="preserve"> comenzar</w:t>
      </w:r>
      <w:r>
        <w:rPr>
          <w:rFonts w:ascii="Arial" w:hAnsi="Arial"/>
        </w:rPr>
        <w:t xml:space="preserve">á </w:t>
      </w:r>
      <w:r w:rsidR="00236099">
        <w:rPr>
          <w:rFonts w:ascii="Arial" w:hAnsi="Arial"/>
        </w:rPr>
        <w:t xml:space="preserve">a partir </w:t>
      </w:r>
      <w:r>
        <w:rPr>
          <w:rFonts w:ascii="Arial" w:hAnsi="Arial"/>
        </w:rPr>
        <w:t>de</w:t>
      </w:r>
      <w:r w:rsidR="00BA3E95">
        <w:rPr>
          <w:rFonts w:ascii="Arial" w:hAnsi="Arial"/>
        </w:rPr>
        <w:t xml:space="preserve">l día siguiente al de </w:t>
      </w:r>
      <w:r>
        <w:rPr>
          <w:rFonts w:ascii="Arial" w:hAnsi="Arial"/>
        </w:rPr>
        <w:t xml:space="preserve"> su</w:t>
      </w:r>
      <w:r w:rsidR="00236099">
        <w:rPr>
          <w:rFonts w:ascii="Arial" w:hAnsi="Arial"/>
        </w:rPr>
        <w:t xml:space="preserve"> publicaci</w:t>
      </w:r>
      <w:r>
        <w:rPr>
          <w:rFonts w:ascii="Arial" w:hAnsi="Arial"/>
        </w:rPr>
        <w:t>ón</w:t>
      </w:r>
      <w:r w:rsidR="00236099">
        <w:rPr>
          <w:rFonts w:ascii="Arial" w:hAnsi="Arial"/>
        </w:rPr>
        <w:t xml:space="preserve"> en el BOTHA</w:t>
      </w:r>
      <w:r>
        <w:rPr>
          <w:rFonts w:ascii="Arial" w:hAnsi="Arial"/>
        </w:rPr>
        <w:t>, salvo que en la misma Ordenanza se indique otra fecha</w:t>
      </w:r>
      <w:r w:rsidR="00BA3E95">
        <w:rPr>
          <w:rFonts w:ascii="Arial" w:hAnsi="Arial"/>
        </w:rPr>
        <w:t>.</w:t>
      </w:r>
      <w:r w:rsidR="00236099">
        <w:rPr>
          <w:rFonts w:ascii="Arial" w:hAnsi="Arial"/>
        </w:rPr>
        <w:t xml:space="preserve"> </w:t>
      </w:r>
      <w:r w:rsidR="00BA3E95">
        <w:rPr>
          <w:rFonts w:ascii="Arial" w:hAnsi="Arial"/>
        </w:rPr>
        <w:t>L</w:t>
      </w:r>
      <w:r w:rsidR="00236099">
        <w:rPr>
          <w:rFonts w:ascii="Arial" w:hAnsi="Arial"/>
        </w:rPr>
        <w:t xml:space="preserve">as normas tributarias no </w:t>
      </w:r>
      <w:r w:rsidR="00BA3E95">
        <w:rPr>
          <w:rFonts w:ascii="Arial" w:hAnsi="Arial"/>
        </w:rPr>
        <w:t>pueden</w:t>
      </w:r>
      <w:r w:rsidR="00A46F76">
        <w:rPr>
          <w:rFonts w:ascii="Arial" w:hAnsi="Arial"/>
        </w:rPr>
        <w:t xml:space="preserve"> establecerse con carácter</w:t>
      </w:r>
      <w:r w:rsidR="00236099">
        <w:rPr>
          <w:rFonts w:ascii="Arial" w:hAnsi="Arial"/>
        </w:rPr>
        <w:t xml:space="preserve"> retroactivo.</w:t>
      </w:r>
    </w:p>
    <w:p w:rsidR="00807365" w:rsidRDefault="00807365">
      <w:pPr>
        <w:jc w:val="both"/>
        <w:rPr>
          <w:rFonts w:ascii="Arial" w:hAnsi="Arial"/>
          <w:b/>
        </w:rPr>
      </w:pPr>
    </w:p>
    <w:p w:rsidR="00A46F76" w:rsidRDefault="00A46F76" w:rsidP="00A46F76">
      <w:pPr>
        <w:pStyle w:val="Sangra"/>
        <w:ind w:firstLine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Las tarifas </w:t>
      </w:r>
      <w:r>
        <w:rPr>
          <w:rFonts w:ascii="Arial" w:hAnsi="Arial"/>
          <w:sz w:val="22"/>
          <w:u w:val="single"/>
        </w:rPr>
        <w:t xml:space="preserve">deberán determinarse </w:t>
      </w:r>
      <w:r>
        <w:rPr>
          <w:rFonts w:ascii="Arial" w:hAnsi="Arial"/>
          <w:b/>
          <w:sz w:val="22"/>
          <w:u w:val="single"/>
        </w:rPr>
        <w:t>previo informe técnico-económico</w:t>
      </w:r>
      <w:r>
        <w:rPr>
          <w:rFonts w:ascii="Arial" w:hAnsi="Arial"/>
          <w:sz w:val="22"/>
        </w:rPr>
        <w:t xml:space="preserve">, es decir, </w:t>
      </w:r>
      <w:r w:rsidRPr="004476A0">
        <w:rPr>
          <w:rFonts w:ascii="Arial" w:hAnsi="Arial"/>
          <w:sz w:val="22"/>
          <w:u w:val="single"/>
        </w:rPr>
        <w:t>no cabe fijar el importe de antemano o previamente por la Entidad</w:t>
      </w:r>
      <w:r>
        <w:rPr>
          <w:rFonts w:ascii="Arial" w:hAnsi="Arial"/>
          <w:sz w:val="22"/>
          <w:u w:val="single"/>
        </w:rPr>
        <w:t>,</w:t>
      </w:r>
      <w:r w:rsidRPr="004476A0">
        <w:rPr>
          <w:rFonts w:ascii="Arial" w:hAnsi="Arial"/>
          <w:sz w:val="22"/>
          <w:u w:val="single"/>
        </w:rPr>
        <w:t xml:space="preserve"> sino que éste ha de resultar del estudio que se elabore</w:t>
      </w:r>
      <w:r>
        <w:rPr>
          <w:rFonts w:ascii="Arial" w:hAnsi="Arial"/>
          <w:sz w:val="22"/>
        </w:rPr>
        <w:t>, dado que las tasas no pueden exceder del coste real o previsible de los servicios que se presten.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</w:tblGrid>
      <w:tr w:rsidR="00807365">
        <w:tc>
          <w:tcPr>
            <w:tcW w:w="4605" w:type="dxa"/>
          </w:tcPr>
          <w:p w:rsidR="00807365" w:rsidRDefault="00807365">
            <w:pPr>
              <w:jc w:val="center"/>
              <w:rPr>
                <w:rFonts w:ascii="Arial" w:hAnsi="Arial"/>
                <w:b/>
              </w:rPr>
            </w:pPr>
          </w:p>
        </w:tc>
      </w:tr>
    </w:tbl>
    <w:p w:rsidR="00807365" w:rsidRDefault="00807365" w:rsidP="0000442A">
      <w:pPr>
        <w:jc w:val="both"/>
        <w:rPr>
          <w:rFonts w:ascii="Arial" w:hAnsi="Arial"/>
          <w:b/>
        </w:rPr>
      </w:pPr>
    </w:p>
    <w:sectPr w:rsidR="00807365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2126" w:right="1418" w:bottom="1021" w:left="1418" w:header="851" w:footer="454" w:gutter="0"/>
      <w:pgNumType w:start="1"/>
      <w:cols w:space="720" w:equalWidth="0">
        <w:col w:w="9071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2A" w:rsidRDefault="004C242A">
      <w:r>
        <w:separator/>
      </w:r>
    </w:p>
  </w:endnote>
  <w:endnote w:type="continuationSeparator" w:id="0">
    <w:p w:rsidR="004C242A" w:rsidRDefault="004C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751" w:rsidRDefault="00C12751">
    <w:pPr>
      <w:pStyle w:val="Orri-oina"/>
      <w:jc w:val="right"/>
    </w:pPr>
    <w:r>
      <w:fldChar w:fldCharType="begin"/>
    </w:r>
    <w:r>
      <w:instrText>PAGE   \* MERGEFORMAT</w:instrText>
    </w:r>
    <w:r>
      <w:fldChar w:fldCharType="separate"/>
    </w:r>
    <w:r w:rsidR="0000442A" w:rsidRPr="0000442A">
      <w:rPr>
        <w:noProof/>
        <w:lang w:val="eu-ES"/>
      </w:rPr>
      <w:t>2</w:t>
    </w:r>
    <w:r>
      <w:fldChar w:fldCharType="end"/>
    </w:r>
  </w:p>
  <w:p w:rsidR="00807365" w:rsidRDefault="00807365">
    <w:pPr>
      <w:pStyle w:val="Orri-o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3"/>
      <w:gridCol w:w="3119"/>
      <w:gridCol w:w="1700"/>
    </w:tblGrid>
    <w:tr w:rsidR="00807365"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807365" w:rsidRDefault="00184DA7">
          <w:pPr>
            <w:pStyle w:val="Orri-oina"/>
            <w:spacing w:after="113" w:line="220" w:lineRule="exact"/>
            <w:ind w:left="-70"/>
            <w:rPr>
              <w:rFonts w:ascii="Arial" w:hAnsi="Arial"/>
              <w:b/>
              <w:sz w:val="18"/>
            </w:rPr>
          </w:pPr>
          <w:proofErr w:type="spellStart"/>
          <w:r>
            <w:rPr>
              <w:rFonts w:ascii="Arial" w:hAnsi="Arial"/>
              <w:b/>
              <w:sz w:val="18"/>
            </w:rPr>
            <w:t>Toki</w:t>
          </w:r>
          <w:proofErr w:type="spellEnd"/>
          <w:r>
            <w:rPr>
              <w:rFonts w:ascii="Arial" w:hAnsi="Arial"/>
              <w:b/>
              <w:sz w:val="18"/>
            </w:rPr>
            <w:t xml:space="preserve"> </w:t>
          </w:r>
          <w:proofErr w:type="spellStart"/>
          <w:r>
            <w:rPr>
              <w:rFonts w:ascii="Arial" w:hAnsi="Arial"/>
              <w:b/>
              <w:sz w:val="18"/>
            </w:rPr>
            <w:t>Administrazioaren</w:t>
          </w:r>
          <w:proofErr w:type="spellEnd"/>
          <w:r>
            <w:rPr>
              <w:rFonts w:ascii="Arial" w:hAnsi="Arial"/>
              <w:b/>
              <w:sz w:val="18"/>
            </w:rPr>
            <w:br/>
          </w:r>
          <w:proofErr w:type="spellStart"/>
          <w:r w:rsidR="00807365">
            <w:rPr>
              <w:rFonts w:ascii="Arial" w:hAnsi="Arial"/>
              <w:b/>
              <w:sz w:val="18"/>
            </w:rPr>
            <w:t>Saila</w:t>
          </w:r>
          <w:proofErr w:type="spellEnd"/>
        </w:p>
        <w:p w:rsidR="00807365" w:rsidRDefault="00807365">
          <w:pPr>
            <w:pStyle w:val="Orri-oina"/>
            <w:spacing w:after="113" w:line="220" w:lineRule="exact"/>
            <w:ind w:left="-7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Departamento de Administración</w:t>
          </w:r>
          <w:r>
            <w:rPr>
              <w:rFonts w:ascii="Arial" w:hAnsi="Arial"/>
              <w:b/>
              <w:sz w:val="18"/>
            </w:rPr>
            <w:br/>
            <w:t>Local</w:t>
          </w:r>
        </w:p>
      </w:tc>
      <w:tc>
        <w:tcPr>
          <w:tcW w:w="3119" w:type="dxa"/>
          <w:tcBorders>
            <w:top w:val="nil"/>
            <w:left w:val="nil"/>
            <w:bottom w:val="nil"/>
            <w:right w:val="nil"/>
          </w:tcBorders>
        </w:tcPr>
        <w:p w:rsidR="00807365" w:rsidRDefault="00807365">
          <w:pPr>
            <w:pStyle w:val="Orri-oina"/>
            <w:spacing w:before="20" w:after="70" w:line="200" w:lineRule="exact"/>
            <w:rPr>
              <w:rFonts w:ascii="Arial" w:hAnsi="Arial"/>
              <w:sz w:val="17"/>
            </w:rPr>
          </w:pPr>
          <w:proofErr w:type="spellStart"/>
          <w:r>
            <w:rPr>
              <w:rFonts w:ascii="Arial" w:hAnsi="Arial"/>
              <w:sz w:val="17"/>
            </w:rPr>
            <w:t>Toki</w:t>
          </w:r>
          <w:proofErr w:type="spellEnd"/>
          <w:r>
            <w:rPr>
              <w:rFonts w:ascii="Arial" w:hAnsi="Arial"/>
              <w:sz w:val="17"/>
            </w:rPr>
            <w:t xml:space="preserve"> </w:t>
          </w:r>
          <w:proofErr w:type="spellStart"/>
          <w:r>
            <w:rPr>
              <w:rFonts w:ascii="Arial" w:hAnsi="Arial"/>
              <w:sz w:val="17"/>
            </w:rPr>
            <w:t>Erakundeen</w:t>
          </w:r>
          <w:proofErr w:type="spellEnd"/>
          <w:r>
            <w:rPr>
              <w:rFonts w:ascii="Arial" w:hAnsi="Arial"/>
              <w:sz w:val="17"/>
            </w:rPr>
            <w:t xml:space="preserve"> </w:t>
          </w:r>
          <w:proofErr w:type="spellStart"/>
          <w:r>
            <w:rPr>
              <w:rFonts w:ascii="Arial" w:hAnsi="Arial"/>
              <w:sz w:val="17"/>
            </w:rPr>
            <w:t>Lege</w:t>
          </w:r>
          <w:proofErr w:type="spellEnd"/>
          <w:r>
            <w:rPr>
              <w:rFonts w:ascii="Arial" w:hAnsi="Arial"/>
              <w:sz w:val="17"/>
            </w:rPr>
            <w:t xml:space="preserve"> eta </w:t>
          </w:r>
          <w:proofErr w:type="spellStart"/>
          <w:r>
            <w:rPr>
              <w:rFonts w:ascii="Arial" w:hAnsi="Arial"/>
              <w:sz w:val="17"/>
            </w:rPr>
            <w:t>Ekonom</w:t>
          </w:r>
          <w:r w:rsidR="00184DA7">
            <w:rPr>
              <w:rFonts w:ascii="Arial" w:hAnsi="Arial"/>
              <w:sz w:val="17"/>
            </w:rPr>
            <w:t>ia</w:t>
          </w:r>
          <w:proofErr w:type="spellEnd"/>
          <w:r w:rsidR="00184DA7">
            <w:rPr>
              <w:rFonts w:ascii="Arial" w:hAnsi="Arial"/>
              <w:sz w:val="17"/>
            </w:rPr>
            <w:t xml:space="preserve"> </w:t>
          </w:r>
          <w:proofErr w:type="spellStart"/>
          <w:r w:rsidR="00184DA7">
            <w:rPr>
              <w:rFonts w:ascii="Arial" w:hAnsi="Arial"/>
              <w:sz w:val="17"/>
            </w:rPr>
            <w:t>Aholkularitzako</w:t>
          </w:r>
          <w:proofErr w:type="spellEnd"/>
          <w:r w:rsidR="00184DA7">
            <w:rPr>
              <w:rFonts w:ascii="Arial" w:hAnsi="Arial"/>
              <w:sz w:val="17"/>
            </w:rPr>
            <w:br/>
          </w:r>
          <w:proofErr w:type="spellStart"/>
          <w:r w:rsidR="00184DA7">
            <w:rPr>
              <w:rFonts w:ascii="Arial" w:hAnsi="Arial"/>
              <w:sz w:val="17"/>
            </w:rPr>
            <w:t>Zerbitzua</w:t>
          </w:r>
          <w:proofErr w:type="spellEnd"/>
          <w:r>
            <w:rPr>
              <w:rFonts w:ascii="Arial" w:hAnsi="Arial"/>
              <w:sz w:val="17"/>
            </w:rPr>
            <w:br/>
            <w:t>Servicio de Asesoría Jurídica</w:t>
          </w:r>
          <w:r>
            <w:rPr>
              <w:rFonts w:ascii="Arial" w:hAnsi="Arial"/>
              <w:sz w:val="17"/>
            </w:rPr>
            <w:br/>
            <w:t>y Económica a Entidades Locales</w:t>
          </w:r>
        </w:p>
      </w:tc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807365" w:rsidRDefault="00807365">
          <w:pPr>
            <w:pStyle w:val="Orri-oina"/>
            <w:spacing w:after="60" w:line="170" w:lineRule="exact"/>
            <w:rPr>
              <w:sz w:val="15"/>
            </w:rPr>
          </w:pPr>
          <w:proofErr w:type="spellStart"/>
          <w:r>
            <w:rPr>
              <w:sz w:val="15"/>
            </w:rPr>
            <w:t>Probintzia</w:t>
          </w:r>
          <w:proofErr w:type="spellEnd"/>
          <w:r>
            <w:rPr>
              <w:sz w:val="15"/>
            </w:rPr>
            <w:t xml:space="preserve"> Plaza, 5</w:t>
          </w:r>
          <w:r>
            <w:rPr>
              <w:sz w:val="15"/>
            </w:rPr>
            <w:br/>
            <w:t>01001 Vitoria-Gasteiz</w:t>
          </w:r>
        </w:p>
        <w:p w:rsidR="00807365" w:rsidRDefault="00807365">
          <w:pPr>
            <w:pStyle w:val="Orri-oina"/>
            <w:spacing w:after="60" w:line="170" w:lineRule="exact"/>
            <w:rPr>
              <w:sz w:val="15"/>
            </w:rPr>
          </w:pPr>
          <w:r>
            <w:rPr>
              <w:sz w:val="15"/>
            </w:rPr>
            <w:t>Tel. 945 18 18 18</w:t>
          </w:r>
          <w:r>
            <w:rPr>
              <w:sz w:val="15"/>
            </w:rPr>
            <w:br/>
            <w:t>Fax: 945 18 17 73</w:t>
          </w:r>
        </w:p>
      </w:tc>
    </w:tr>
  </w:tbl>
  <w:p w:rsidR="00807365" w:rsidRDefault="00807365" w:rsidP="00A46F76">
    <w:pPr>
      <w:pStyle w:val="Orri-o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2A" w:rsidRDefault="004C242A">
      <w:r>
        <w:separator/>
      </w:r>
    </w:p>
  </w:footnote>
  <w:footnote w:type="continuationSeparator" w:id="0">
    <w:p w:rsidR="004C242A" w:rsidRDefault="004C24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807365">
      <w:trPr>
        <w:cantSplit/>
        <w:trHeight w:val="338"/>
      </w:trPr>
      <w:tc>
        <w:tcPr>
          <w:tcW w:w="3856" w:type="dxa"/>
        </w:tcPr>
        <w:p w:rsidR="00807365" w:rsidRDefault="00807365">
          <w:pPr>
            <w:pStyle w:val="Goiburua"/>
          </w:pPr>
        </w:p>
      </w:tc>
      <w:tc>
        <w:tcPr>
          <w:tcW w:w="1361" w:type="dxa"/>
          <w:vMerge w:val="restart"/>
        </w:tcPr>
        <w:p w:rsidR="00807365" w:rsidRDefault="006C095B">
          <w:pPr>
            <w:pStyle w:val="Goiburua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5pt;height:34.5pt" fillcolor="window">
                <v:imagedata r:id="rId1" o:title="S MBOLO 12 X 12"/>
              </v:shape>
            </w:pict>
          </w:r>
        </w:p>
      </w:tc>
      <w:tc>
        <w:tcPr>
          <w:tcW w:w="3856" w:type="dxa"/>
        </w:tcPr>
        <w:p w:rsidR="00807365" w:rsidRDefault="00807365">
          <w:pPr>
            <w:pStyle w:val="Goiburua"/>
          </w:pPr>
        </w:p>
      </w:tc>
    </w:tr>
    <w:tr w:rsidR="00807365">
      <w:trPr>
        <w:cantSplit/>
        <w:trHeight w:val="337"/>
      </w:trPr>
      <w:tc>
        <w:tcPr>
          <w:tcW w:w="3856" w:type="dxa"/>
        </w:tcPr>
        <w:p w:rsidR="00807365" w:rsidRDefault="00807365">
          <w:pPr>
            <w:pStyle w:val="Goiburua"/>
          </w:pPr>
        </w:p>
      </w:tc>
      <w:tc>
        <w:tcPr>
          <w:tcW w:w="1361" w:type="dxa"/>
          <w:vMerge/>
        </w:tcPr>
        <w:p w:rsidR="00807365" w:rsidRDefault="00807365">
          <w:pPr>
            <w:pStyle w:val="Goiburua"/>
            <w:jc w:val="center"/>
          </w:pPr>
        </w:p>
      </w:tc>
      <w:tc>
        <w:tcPr>
          <w:tcW w:w="3856" w:type="dxa"/>
        </w:tcPr>
        <w:p w:rsidR="00807365" w:rsidRDefault="00807365">
          <w:pPr>
            <w:pStyle w:val="Goiburua"/>
          </w:pPr>
        </w:p>
      </w:tc>
    </w:tr>
  </w:tbl>
  <w:p w:rsidR="00807365" w:rsidRDefault="00807365">
    <w:pPr>
      <w:pStyle w:val="Goiburu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807365">
      <w:tc>
        <w:tcPr>
          <w:tcW w:w="9072" w:type="dxa"/>
        </w:tcPr>
        <w:p w:rsidR="00807365" w:rsidRDefault="00807365">
          <w:pPr>
            <w:pStyle w:val="Goiburua"/>
            <w:tabs>
              <w:tab w:val="clear" w:pos="4252"/>
              <w:tab w:val="clear" w:pos="8504"/>
            </w:tabs>
            <w:ind w:left="-70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</w:rPr>
            <w:object w:dxaOrig="2446" w:dyaOrig="19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2.25pt;height:99.75pt" o:ole="" fillcolor="window">
                <v:imagedata r:id="rId1" o:title=""/>
              </v:shape>
              <o:OLEObject Type="Embed" ProgID="Word.Picture.8" ShapeID="_x0000_i1026" DrawAspect="Content" ObjectID="_1492335660" r:id="rId2"/>
            </w:object>
          </w:r>
        </w:p>
      </w:tc>
    </w:tr>
  </w:tbl>
  <w:p w:rsidR="00807365" w:rsidRDefault="00807365">
    <w:pPr>
      <w:pStyle w:val="Goiburua"/>
      <w:tabs>
        <w:tab w:val="clear" w:pos="4252"/>
        <w:tab w:val="clear" w:pos="8504"/>
      </w:tabs>
      <w:ind w:right="28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447C"/>
    <w:multiLevelType w:val="singleLevel"/>
    <w:tmpl w:val="87EE474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D304FE1"/>
    <w:multiLevelType w:val="singleLevel"/>
    <w:tmpl w:val="830490BC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339"/>
    <w:rsid w:val="0000442A"/>
    <w:rsid w:val="000E5026"/>
    <w:rsid w:val="00184DA7"/>
    <w:rsid w:val="00236099"/>
    <w:rsid w:val="0025035F"/>
    <w:rsid w:val="002973ED"/>
    <w:rsid w:val="002E4E84"/>
    <w:rsid w:val="003351BF"/>
    <w:rsid w:val="003533B1"/>
    <w:rsid w:val="00354F08"/>
    <w:rsid w:val="004476A0"/>
    <w:rsid w:val="004C242A"/>
    <w:rsid w:val="0057437D"/>
    <w:rsid w:val="00584BD2"/>
    <w:rsid w:val="005B6F0B"/>
    <w:rsid w:val="006B6A0B"/>
    <w:rsid w:val="006C095B"/>
    <w:rsid w:val="00711972"/>
    <w:rsid w:val="00776A94"/>
    <w:rsid w:val="00780D25"/>
    <w:rsid w:val="007A28C4"/>
    <w:rsid w:val="00807365"/>
    <w:rsid w:val="00816964"/>
    <w:rsid w:val="0091106D"/>
    <w:rsid w:val="00987B0A"/>
    <w:rsid w:val="00A461F7"/>
    <w:rsid w:val="00A46F76"/>
    <w:rsid w:val="00AB4A6F"/>
    <w:rsid w:val="00BA3E95"/>
    <w:rsid w:val="00BC37BA"/>
    <w:rsid w:val="00C12751"/>
    <w:rsid w:val="00D11C4A"/>
    <w:rsid w:val="00DD1D63"/>
    <w:rsid w:val="00DE4C40"/>
    <w:rsid w:val="00E10339"/>
    <w:rsid w:val="00F1240C"/>
    <w:rsid w:val="00F1563D"/>
    <w:rsid w:val="00F1629B"/>
    <w:rsid w:val="00F53D58"/>
    <w:rsid w:val="00F5407F"/>
    <w:rsid w:val="00FB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Pr>
      <w:sz w:val="22"/>
    </w:rPr>
  </w:style>
  <w:style w:type="paragraph" w:styleId="1izenburua">
    <w:name w:val="heading 1"/>
    <w:basedOn w:val="Normala"/>
    <w:next w:val="Normala"/>
    <w:qFormat/>
    <w:pPr>
      <w:keepNext/>
      <w:jc w:val="center"/>
      <w:outlineLvl w:val="0"/>
    </w:pPr>
    <w:rPr>
      <w:rFonts w:ascii="Arial" w:hAnsi="Arial"/>
      <w:b/>
    </w:rPr>
  </w:style>
  <w:style w:type="paragraph" w:styleId="2izenburua">
    <w:name w:val="heading 2"/>
    <w:basedOn w:val="Normala"/>
    <w:next w:val="Normala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spacing w:before="120"/>
      <w:ind w:firstLine="567"/>
      <w:jc w:val="both"/>
      <w:outlineLvl w:val="1"/>
    </w:pPr>
    <w:rPr>
      <w:rFonts w:ascii="Arial" w:hAnsi="Arial"/>
      <w:b/>
      <w:sz w:val="1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Sangra">
    <w:name w:val="Sangría"/>
    <w:basedOn w:val="Normala"/>
    <w:pPr>
      <w:spacing w:after="240"/>
      <w:ind w:firstLine="1134"/>
      <w:jc w:val="both"/>
    </w:pPr>
    <w:rPr>
      <w:sz w:val="24"/>
    </w:rPr>
  </w:style>
  <w:style w:type="paragraph" w:styleId="Gorputz-testuarenkoska3">
    <w:name w:val="Body Text Indent 3"/>
    <w:basedOn w:val="Normala"/>
    <w:semiHidden/>
    <w:pPr>
      <w:spacing w:after="240"/>
      <w:ind w:left="1134" w:firstLine="567"/>
      <w:jc w:val="both"/>
    </w:pPr>
    <w:rPr>
      <w:lang w:val="es-ES_tradnl"/>
    </w:rPr>
  </w:style>
  <w:style w:type="paragraph" w:styleId="Gorputz-testuarenkoska">
    <w:name w:val="Body Text Indent"/>
    <w:basedOn w:val="Normala"/>
    <w:semiHidden/>
    <w:rPr>
      <w:rFonts w:ascii="Arial" w:hAnsi="Arial"/>
      <w:sz w:val="28"/>
    </w:rPr>
  </w:style>
  <w:style w:type="paragraph" w:styleId="Koskanormala">
    <w:name w:val="Normal Indent"/>
    <w:basedOn w:val="Normala"/>
    <w:semiHidden/>
    <w:pPr>
      <w:spacing w:after="240"/>
      <w:ind w:firstLine="1134"/>
      <w:jc w:val="both"/>
    </w:pPr>
    <w:rPr>
      <w:rFonts w:ascii="Arial" w:hAnsi="Arial"/>
      <w:lang w:val="es-ES_tradnl"/>
    </w:rPr>
  </w:style>
  <w:style w:type="paragraph" w:styleId="Gorputz-testua">
    <w:name w:val="Body Text"/>
    <w:basedOn w:val="Normala"/>
    <w:semiHidden/>
    <w:pPr>
      <w:jc w:val="both"/>
    </w:pPr>
    <w:rPr>
      <w:rFonts w:ascii="Arial" w:hAnsi="Arial"/>
      <w:sz w:val="24"/>
    </w:rPr>
  </w:style>
  <w:style w:type="character" w:styleId="Orrialde-zenbakia">
    <w:name w:val="page number"/>
    <w:basedOn w:val="Paragrafoarenletra-tipolehenetsia"/>
    <w:semiHidden/>
  </w:style>
  <w:style w:type="paragraph" w:styleId="Goiburua">
    <w:name w:val="header"/>
    <w:basedOn w:val="Normala"/>
    <w:semiHidden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  <w:rPr>
      <w:sz w:val="20"/>
      <w:lang w:val="es-ES_tradnl"/>
    </w:rPr>
  </w:style>
  <w:style w:type="paragraph" w:styleId="Gorputz-testua3">
    <w:name w:val="Body Text 3"/>
    <w:basedOn w:val="Normala"/>
    <w:semiHidden/>
    <w:pPr>
      <w:jc w:val="both"/>
    </w:pPr>
    <w:rPr>
      <w:rFonts w:ascii="Arial" w:hAnsi="Arial"/>
      <w:i/>
    </w:rPr>
  </w:style>
  <w:style w:type="character" w:customStyle="1" w:styleId="Orri-oinaKar">
    <w:name w:val="Orri-oina Kar"/>
    <w:link w:val="Orri-oina"/>
    <w:uiPriority w:val="99"/>
    <w:rsid w:val="00C12751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57DF2-584B-471C-BA8C-D1741CC7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ASUNTO: Informe jurídico que emite el Servicio de Asesoría Jurídica y Económica a las Entidades Locales con motivo de la solicitud efectuada por el Concejo de Atauri en relación con la modificación de la Ordenanza Fiscal reguladora de la tasa de suminist</vt:lpstr>
      <vt:lpstr>ASUNTO: Informe jurídico que emite el Servicio de Asesoría Jurídica y Económica a las Entidades Locales con motivo de la solicitud efectuada por el Concejo de Atauri en relación con la modificación de la Ordenanza Fiscal reguladora de la tasa de suminist</vt:lpstr>
    </vt:vector>
  </TitlesOfParts>
  <Company>DFA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Informe jurídico que emite el Servicio de Asesoría Jurídica y Económica a las Entidades Locales con motivo de la solicitud efectuada por el Concejo de Atauri en relación con la modificación de la Ordenanza Fiscal reguladora de la tasa de suminist</dc:title>
  <dc:creator>msaezdejauregui</dc:creator>
  <cp:lastModifiedBy>C3807$</cp:lastModifiedBy>
  <cp:revision>3</cp:revision>
  <cp:lastPrinted>2015-04-20T12:05:00Z</cp:lastPrinted>
  <dcterms:created xsi:type="dcterms:W3CDTF">2015-04-21T11:40:00Z</dcterms:created>
  <dcterms:modified xsi:type="dcterms:W3CDTF">2015-05-05T10:55:00Z</dcterms:modified>
</cp:coreProperties>
</file>